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Subject: Education</w:t>
      </w:r>
      <w:r>
        <w:rPr>
          <w:rFonts w:ascii="Times New Roman" w:cs="Times New Roman" w:hAnsi="Times New Roman"/>
          <w:sz w:val="20"/>
          <w:szCs w:val="20"/>
        </w:rPr>
        <w:t>al Technology (4</w:t>
      </w:r>
      <w:bookmarkStart w:id="0" w:name="_GoBack"/>
      <w:bookmarkEnd w:id="0"/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Credits)</w:t>
      </w:r>
      <w:r>
        <w:rPr>
          <w:rFonts w:ascii="Times New Roman" w:cs="Times New Roman" w:hAnsi="Times New Roman"/>
          <w:sz w:val="20"/>
          <w:szCs w:val="20"/>
        </w:rPr>
        <w:t xml:space="preserve"> Thu, Fri, Sat.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0"/>
          <w:szCs w:val="20"/>
          <w:vertAlign w:val="superscript"/>
        </w:rPr>
      </w:pPr>
      <w:r>
        <w:rPr>
          <w:rFonts w:ascii="Times New Roman" w:cs="Times New Roman" w:hAnsi="Times New Roman"/>
          <w:sz w:val="20"/>
          <w:szCs w:val="20"/>
        </w:rPr>
        <w:t>Semester: 5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Subject Teacher:  </w:t>
      </w:r>
      <w:r>
        <w:rPr>
          <w:rFonts w:ascii="Times New Roman" w:cs="Times New Roman" w:hAnsi="Times New Roman"/>
          <w:sz w:val="20"/>
          <w:szCs w:val="20"/>
        </w:rPr>
        <w:t>Dr. Rozia Bashir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cs="Times New Roman" w:hAnsi="Times New Roman"/>
          <w:b/>
          <w:bCs/>
          <w:sz w:val="20"/>
          <w:szCs w:val="20"/>
          <w:u w:val="single"/>
        </w:rPr>
        <w:t>Objectives:</w:t>
      </w: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1.</w:t>
      </w:r>
      <w:r>
        <w:rPr>
          <w:rFonts w:ascii="Times New Roman" w:cs="Times New Roman" w:hAnsi="Times New Roman"/>
          <w:sz w:val="20"/>
          <w:szCs w:val="20"/>
        </w:rPr>
        <w:t xml:space="preserve"> Explore the integration of educational technology to enhance learning experiences, encompassing instructional, teaching, and behavioral technologies. </w:t>
      </w:r>
    </w:p>
    <w:p>
      <w:pPr>
        <w:pStyle w:val="style0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2.</w:t>
      </w:r>
      <w:r>
        <w:rPr>
          <w:rFonts w:ascii="Times New Roman" w:cs="Times New Roman" w:hAnsi="Times New Roman"/>
          <w:sz w:val="20"/>
          <w:szCs w:val="20"/>
        </w:rPr>
        <w:t xml:space="preserve"> Understand the diverse applications of computer technology in education.</w:t>
      </w:r>
    </w:p>
    <w:tbl>
      <w:tblPr>
        <w:tblStyle w:val="style154"/>
        <w:tblpPr w:leftFromText="180" w:rightFromText="180" w:topFromText="0" w:bottomFromText="0" w:vertAnchor="text" w:horzAnchor="margin" w:tblpXSpec="left" w:tblpY="101"/>
        <w:tblW w:w="10190" w:type="dxa"/>
        <w:tblLook w:val="04A0" w:firstRow="1" w:lastRow="0" w:firstColumn="1" w:lastColumn="0" w:noHBand="0" w:noVBand="1"/>
      </w:tblPr>
      <w:tblGrid>
        <w:gridCol w:w="1656"/>
        <w:gridCol w:w="4639"/>
        <w:gridCol w:w="2219"/>
        <w:gridCol w:w="1677"/>
      </w:tblGrid>
      <w:tr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S No</w:t>
            </w: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Topic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Duration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Remarks</w:t>
            </w: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Meaning of Educational Technology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Objectives of Educational Technology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Types of Educational Technology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17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Need and Importance of Educational Technology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Teaching Technology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Instructional technology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Behavioral Technology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31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October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Meaning and use of ICT in Education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Types – E-Learning, Blended Learning and Collaborative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12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13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14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15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Teaching learning aids-Projected and Non-projected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17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19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,21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Project Method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Heuristic Method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27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28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29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30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November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Dalton Plan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2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3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4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December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>
          <w:trHeight w:val="480" w:hRule="atLeast"/>
        </w:trPr>
        <w:tc>
          <w:tcPr>
            <w:tcW w:w="1108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499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Practicals</w:t>
            </w: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to 20</w:t>
            </w:r>
            <w:r>
              <w:rPr>
                <w:rFonts w:ascii="Times New Roman" w:cs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December</w:t>
            </w:r>
          </w:p>
        </w:tc>
        <w:tc>
          <w:tcPr>
            <w:tcW w:w="175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0"/>
          <w:szCs w:val="20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0"/>
          <w:szCs w:val="20"/>
          <w:u w:val="single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B6AA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Words>163</Words>
  <Pages>1</Pages>
  <Characters>1015</Characters>
  <Application>WPS Office</Application>
  <DocSecurity>0</DocSecurity>
  <Paragraphs>88</Paragraphs>
  <ScaleCrop>false</ScaleCrop>
  <LinksUpToDate>false</LinksUpToDate>
  <CharactersWithSpaces>1147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2024-10-23T08:52:00Z</dcterms:created>
  <dc:creator>RAJU</dc:creator>
  <lastModifiedBy>21061119BI</lastModifiedBy>
  <dcterms:modified xsi:type="dcterms:W3CDTF">2024-11-25T04:30:11Z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7ff6fa08334c4c8c8500f8eedba17c4d</vt:lpwstr>
  </property>
</Properties>
</file>